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>
        <w:tblInd w:w="55" w:type="dxa"/>
      </w:tblPr>
      <w:tblGrid>
        <w:gridCol w:w="1103"/>
        <w:gridCol w:w="1889"/>
        <w:gridCol w:w="3260"/>
        <w:gridCol w:w="1353"/>
        <w:gridCol w:w="1199"/>
        <w:gridCol w:w="850"/>
        <w:gridCol w:w="997"/>
      </w:tblGrid>
      <w:tr>
        <w:trPr>
          <w:trHeight w:val="358" w:hRule="auto"/>
          <w:jc w:val="left"/>
        </w:trPr>
        <w:tc>
          <w:tcPr>
            <w:tcW w:w="110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925" w:dyaOrig="1065">
                <v:rect xmlns:o="urn:schemas-microsoft-com:office:office" xmlns:v="urn:schemas-microsoft-com:vml" id="rectole0000000000" style="width:46.250000pt;height:53.25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7701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COLÉGIO MARIA JOSÉ DA SILVA MELO</w:t>
            </w:r>
          </w:p>
        </w:tc>
        <w:tc>
          <w:tcPr>
            <w:tcW w:w="85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Nota</w:t>
            </w:r>
          </w:p>
        </w:tc>
        <w:tc>
          <w:tcPr>
            <w:tcW w:w="99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32" w:hRule="auto"/>
          <w:jc w:val="left"/>
        </w:trPr>
        <w:tc>
          <w:tcPr>
            <w:tcW w:w="110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Série: 9º Ano</w:t>
            </w:r>
          </w:p>
        </w:tc>
        <w:tc>
          <w:tcPr>
            <w:tcW w:w="3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Professor: Neirigelson Leite</w:t>
            </w:r>
          </w:p>
        </w:tc>
        <w:tc>
          <w:tcPr>
            <w:tcW w:w="255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Data: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  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     /04/2021</w:t>
            </w:r>
          </w:p>
        </w:tc>
        <w:tc>
          <w:tcPr>
            <w:tcW w:w="85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42" w:hRule="auto"/>
          <w:jc w:val="left"/>
        </w:trPr>
        <w:tc>
          <w:tcPr>
            <w:tcW w:w="110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5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Nome:</w:t>
            </w:r>
          </w:p>
        </w:tc>
        <w:tc>
          <w:tcPr>
            <w:tcW w:w="11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Nº</w:t>
            </w:r>
          </w:p>
        </w:tc>
        <w:tc>
          <w:tcPr>
            <w:tcW w:w="85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8" w:hRule="auto"/>
          <w:jc w:val="left"/>
        </w:trPr>
        <w:tc>
          <w:tcPr>
            <w:tcW w:w="10651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VERIFICAÇÃO DE APRENDIZAGEM DE QUÍMICA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 fósforo branco (P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  <w:vertAlign w:val="subscript"/>
        </w:rPr>
        <w:t xml:space="preserve">4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 é uma substância muito curiosa, pois ao entrar em contato com o ar sofre combustão espontânea, isto é, "pega fogo" sem contato algum. A densidade do fósforo branco é igual a 1,82g/cm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  <w:vertAlign w:val="superscript"/>
        </w:rPr>
        <w:t xml:space="preserve">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Qual a massa de 7 cm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  <w:vertAlign w:val="superscript"/>
        </w:rPr>
        <w:t xml:space="preserve">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de fósforo branco?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tbl>
      <w:tblPr>
        <w:tblInd w:w="108" w:type="dxa"/>
      </w:tblPr>
      <w:tblGrid>
        <w:gridCol w:w="10498"/>
      </w:tblGrid>
      <w:tr>
        <w:trPr>
          <w:trHeight w:val="1437" w:hRule="auto"/>
          <w:jc w:val="left"/>
        </w:trPr>
        <w:tc>
          <w:tcPr>
            <w:tcW w:w="10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m= 12,74 g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Cite quatro fenômenos físicos que ocorrem no cotidiano, em sua casa.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tbl>
      <w:tblPr>
        <w:tblInd w:w="108" w:type="dxa"/>
      </w:tblPr>
      <w:tblGrid>
        <w:gridCol w:w="10498"/>
      </w:tblGrid>
      <w:tr>
        <w:trPr>
          <w:trHeight w:val="1123" w:hRule="auto"/>
          <w:jc w:val="left"/>
        </w:trPr>
        <w:tc>
          <w:tcPr>
            <w:tcW w:w="10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Amassar um papel, quebrar um copo de vidro, ferver água e congelamento de água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Tendo por base as Propriedades da Matéria, responda os itens a seguir.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Quais são as propriedades gerais da matéria (cite quatro) e defina cada uma.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tbl>
      <w:tblPr>
        <w:tblInd w:w="108" w:type="dxa"/>
      </w:tblPr>
      <w:tblGrid>
        <w:gridCol w:w="10498"/>
      </w:tblGrid>
      <w:tr>
        <w:trPr>
          <w:trHeight w:val="1437" w:hRule="auto"/>
          <w:jc w:val="left"/>
        </w:trPr>
        <w:tc>
          <w:tcPr>
            <w:tcW w:w="10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Massa: É uma grandeza invariável que representa a quantidade de matéria presente em um corpo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Inércia: Se um corpo estiver em repouso ou se movimentando em linha reta, ele tem a tendência de se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manter nesse estado até que uma força aja sobre ele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Divisibilidade: permite que o objeto, mesmo ao ser fracionado em pequenas partes, mantenha as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suas propriedades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Indestrutibilida : A matéria não pode ser criada ou destruída, apenas transformada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Cite três propriedades físicas da matéria e defina cada uma delas.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tbl>
      <w:tblPr>
        <w:tblInd w:w="108" w:type="dxa"/>
      </w:tblPr>
      <w:tblGrid>
        <w:gridCol w:w="10498"/>
      </w:tblGrid>
      <w:tr>
        <w:trPr>
          <w:trHeight w:val="1437" w:hRule="auto"/>
          <w:jc w:val="left"/>
        </w:trPr>
        <w:tc>
          <w:tcPr>
            <w:tcW w:w="10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Densidadade: É o resultado da divisão entre a quantidade de matéria (massa) e o seu volume ocupado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Ponto de fusão: É a temperatura que em determinada matéria passa do estado sólido para o líquido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Ponto de ebulição: É a temperatura em que uma determinada matéria passa do estado líquido para o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estado gasoso 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Qual é a diferença entre matéria, corpo e objeto?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tbl>
      <w:tblPr>
        <w:tblInd w:w="108" w:type="dxa"/>
      </w:tblPr>
      <w:tblGrid>
        <w:gridCol w:w="10498"/>
      </w:tblGrid>
      <w:tr>
        <w:trPr>
          <w:trHeight w:val="1079" w:hRule="auto"/>
          <w:jc w:val="left"/>
        </w:trPr>
        <w:tc>
          <w:tcPr>
            <w:tcW w:w="10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Matéria é tudo aquilo que tem massa e ocupa lugar no espaço e, desse modo, possui volume.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Corpo é a denominação dada a qualquer porção limitada de matéria,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Objeto é aquele que, devido à sua forma, possui uma determinada finalidade ou uso.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Em uma aula prática de Ciências os alunos analisaram um líquido de identidade desconhecida. Inicialmente verificaram a existência de uma única fase. Em seguida, determinaram a densidade, a temperatura de ebulição e a massa residual após a evaporação de 100 mL do líquido.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tabela abaixo evidencia os resultados das análises: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0"/>
          <w:shd w:fill="auto" w:val="clear"/>
        </w:rPr>
      </w:pPr>
    </w:p>
    <w:tbl>
      <w:tblPr/>
      <w:tblGrid>
        <w:gridCol w:w="1747"/>
        <w:gridCol w:w="1933"/>
        <w:gridCol w:w="2043"/>
      </w:tblGrid>
      <w:tr>
        <w:trPr>
          <w:trHeight w:val="663" w:hRule="auto"/>
          <w:jc w:val="center"/>
        </w:trPr>
        <w:tc>
          <w:tcPr>
            <w:tcW w:w="1747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Densidade a </w:t>
            </w:r>
            <w:r>
              <w:object w:dxaOrig="526" w:dyaOrig="263">
                <v:rect xmlns:o="urn:schemas-microsoft-com:office:office" xmlns:v="urn:schemas-microsoft-com:vml" id="rectole0000000001" style="width:26.300000pt;height:13.150000pt" o:preferrelative="t" o:ole="">
                  <o:lock v:ext="edit"/>
                  <v:imagedata xmlns:r="http://schemas.openxmlformats.org/officeDocument/2006/relationships" r:id="docRId3" o:title=""/>
                </v:rect>
                <o:OLEObject xmlns:r="http://schemas.openxmlformats.org/officeDocument/2006/relationships" xmlns:o="urn:schemas-microsoft-com:office:office" Type="Embed" DrawAspect="Content" ObjectID="0000000001" ShapeID="rectole0000000001" r:id="docRId2"/>
              </w:object>
            </w:r>
          </w:p>
        </w:tc>
        <w:tc>
          <w:tcPr>
            <w:tcW w:w="1933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Temperatura de ebulição</w:t>
            </w:r>
          </w:p>
        </w:tc>
        <w:tc>
          <w:tcPr>
            <w:tcW w:w="2043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Massa residual após evaporação</w:t>
            </w:r>
          </w:p>
        </w:tc>
      </w:tr>
      <w:tr>
        <w:trPr>
          <w:trHeight w:val="382" w:hRule="auto"/>
          <w:jc w:val="center"/>
        </w:trPr>
        <w:tc>
          <w:tcPr>
            <w:tcW w:w="1747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1052" w:dyaOrig="303">
                <v:rect xmlns:o="urn:schemas-microsoft-com:office:office" xmlns:v="urn:schemas-microsoft-com:vml" id="rectole0000000002" style="width:52.600000pt;height:15.150000pt" o:preferrelative="t" o:ole="">
                  <o:lock v:ext="edit"/>
                  <v:imagedata xmlns:r="http://schemas.openxmlformats.org/officeDocument/2006/relationships" r:id="docRId5" o:title=""/>
                </v:rect>
                <o:OLEObject xmlns:r="http://schemas.openxmlformats.org/officeDocument/2006/relationships" xmlns:o="urn:schemas-microsoft-com:office:office" Type="Embed" DrawAspect="Content" ObjectID="0000000002" ShapeID="rectole0000000002" r:id="docRId4"/>
              </w:object>
            </w:r>
          </w:p>
        </w:tc>
        <w:tc>
          <w:tcPr>
            <w:tcW w:w="1933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1154" w:dyaOrig="263">
                <v:rect xmlns:o="urn:schemas-microsoft-com:office:office" xmlns:v="urn:schemas-microsoft-com:vml" id="rectole0000000003" style="width:57.700000pt;height:13.150000pt" o:preferrelative="t" o:ole="">
                  <o:lock v:ext="edit"/>
                  <v:imagedata xmlns:r="http://schemas.openxmlformats.org/officeDocument/2006/relationships" r:id="docRId7" o:title=""/>
                </v:rect>
                <o:OLEObject xmlns:r="http://schemas.openxmlformats.org/officeDocument/2006/relationships" xmlns:o="urn:schemas-microsoft-com:office:office" Type="Embed" DrawAspect="Content" ObjectID="0000000003" ShapeID="rectole0000000003" r:id="docRId6"/>
              </w:object>
            </w:r>
          </w:p>
        </w:tc>
        <w:tc>
          <w:tcPr>
            <w:tcW w:w="2043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627" w:dyaOrig="303">
                <v:rect xmlns:o="urn:schemas-microsoft-com:office:office" xmlns:v="urn:schemas-microsoft-com:vml" id="rectole0000000004" style="width:31.350000pt;height:15.150000pt" o:preferrelative="t" o:ole="">
                  <o:lock v:ext="edit"/>
                  <v:imagedata xmlns:r="http://schemas.openxmlformats.org/officeDocument/2006/relationships" r:id="docRId9" o:title=""/>
                </v:rect>
                <o:OLEObject xmlns:r="http://schemas.openxmlformats.org/officeDocument/2006/relationships" xmlns:o="urn:schemas-microsoft-com:office:office" Type="Embed" DrawAspect="Content" ObjectID="0000000004" ShapeID="rectole0000000004" r:id="docRId8"/>
              </w:objec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 base nos resultados, o líquido em questão é uma: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substância simples.   </w:t>
        <w:tab/>
        <w:tab/>
        <w:t xml:space="preserve">b) substância composta. </w:t>
        <w:tab/>
        <w:tab/>
        <w:t xml:space="preserve">c) mistura heterogênea.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d) mistura homogênea.</w:t>
        <w:tab/>
        <w:tab/>
        <w:t xml:space="preserve">e) alótropos.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 modelo de Dalton foi de suma importância para o conceito de átomos, moléculas e substâncias (simples e compostas). Assinale a opção que apresenta apenas substâncias simples.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</w:t>
      </w:r>
      <w:r>
        <w:object w:dxaOrig="1194" w:dyaOrig="303">
          <v:rect xmlns:o="urn:schemas-microsoft-com:office:office" xmlns:v="urn:schemas-microsoft-com:vml" id="rectole0000000005" style="width:59.700000pt;height:15.1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DrawAspect="Content" ObjectID="0000000005" ShapeID="rectole0000000005" r:id="docRId10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 </w:t>
      </w:r>
      <w:r>
        <w:object w:dxaOrig="404" w:dyaOrig="303">
          <v:rect xmlns:o="urn:schemas-microsoft-com:office:office" xmlns:v="urn:schemas-microsoft-com:vml" id="rectole0000000006" style="width:20.200000pt;height:15.1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DrawAspect="Content" ObjectID="0000000006" ShapeID="rectole0000000006" r:id="docRId12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  <w:tab/>
        <w:tab/>
        <w:t xml:space="preserve">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b) </w:t>
      </w:r>
      <w:r>
        <w:object w:dxaOrig="566" w:dyaOrig="303">
          <v:rect xmlns:o="urn:schemas-microsoft-com:office:office" xmlns:v="urn:schemas-microsoft-com:vml" id="rectole0000000007" style="width:28.300000pt;height:15.1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DrawAspect="Content" ObjectID="0000000007" ShapeID="rectole0000000007" r:id="docRId14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 </w:t>
      </w:r>
      <w:r>
        <w:object w:dxaOrig="344" w:dyaOrig="303">
          <v:rect xmlns:o="urn:schemas-microsoft-com:office:office" xmlns:v="urn:schemas-microsoft-com:vml" id="rectole0000000008" style="width:17.200000pt;height:15.1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DrawAspect="Content" ObjectID="0000000008" ShapeID="rectole0000000008" r:id="docRId16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  <w:tab/>
        <w:tab/>
        <w:tab/>
        <w:t xml:space="preserve">c) </w:t>
      </w:r>
      <w:r>
        <w:object w:dxaOrig="546" w:dyaOrig="303">
          <v:rect xmlns:o="urn:schemas-microsoft-com:office:office" xmlns:v="urn:schemas-microsoft-com:vml" id="rectole0000000009" style="width:27.300000pt;height:15.1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DrawAspect="Content" ObjectID="0000000009" ShapeID="rectole0000000009" r:id="docRId18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 </w:t>
      </w:r>
      <w:r>
        <w:object w:dxaOrig="485" w:dyaOrig="303">
          <v:rect xmlns:o="urn:schemas-microsoft-com:office:office" xmlns:v="urn:schemas-microsoft-com:vml" id="rectole0000000010" style="width:24.250000pt;height:15.1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DrawAspect="Content" ObjectID="0000000010" ShapeID="rectole0000000010" r:id="docRId20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</w:t>
      </w:r>
      <w:r>
        <w:object w:dxaOrig="769" w:dyaOrig="303">
          <v:rect xmlns:o="urn:schemas-microsoft-com:office:office" xmlns:v="urn:schemas-microsoft-com:vml" id="rectole0000000011" style="width:38.450000pt;height:15.1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DrawAspect="Content" ObjectID="0000000011" ShapeID="rectole0000000011" r:id="docRId22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 </w:t>
      </w:r>
      <w:r>
        <w:object w:dxaOrig="911" w:dyaOrig="303">
          <v:rect xmlns:o="urn:schemas-microsoft-com:office:office" xmlns:v="urn:schemas-microsoft-com:vml" id="rectole0000000012" style="width:45.550000pt;height:15.1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DrawAspect="Content" ObjectID="0000000012" ShapeID="rectole0000000012" r:id="docRId24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  <w:tab/>
        <w:tab/>
        <w:t xml:space="preserve">e) </w:t>
      </w:r>
      <w:r>
        <w:object w:dxaOrig="1073" w:dyaOrig="303">
          <v:rect xmlns:o="urn:schemas-microsoft-com:office:office" xmlns:v="urn:schemas-microsoft-com:vml" id="rectole0000000013" style="width:53.650000pt;height:15.1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DrawAspect="Content" ObjectID="0000000013" ShapeID="rectole0000000013" r:id="docRId26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 </w:t>
      </w:r>
      <w:r>
        <w:object w:dxaOrig="789" w:dyaOrig="303">
          <v:rect xmlns:o="urn:schemas-microsoft-com:office:office" xmlns:v="urn:schemas-microsoft-com:vml" id="rectole0000000014" style="width:39.450000pt;height:15.1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DrawAspect="Content" ObjectID="0000000014" ShapeID="rectole0000000014" r:id="docRId28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Sobre o esquema seguinte, que representa um modelo cinético-molecular de uma mesma substância, foram feitas quatro afirmações: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6248" w:dyaOrig="3340">
          <v:rect xmlns:o="urn:schemas-microsoft-com:office:office" xmlns:v="urn:schemas-microsoft-com:vml" id="rectole0000000015" style="width:312.400000pt;height:167.0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I. Ao passar da fase B para a C, o sistema absorve calor.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II. O grau de agitação molecular em A é maior que em B.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III. O processo II ocorre com liberação de calor.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IV. No processo I, ocorre o fenômeno da fusão.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Estão corretas apenas as afirmativas: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a) I e II.   </w:t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I e IV.</w:t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II e III.</w:t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III e IV.</w:t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II e IV.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Preparou-se uma solução com 80 g de </w:t>
      </w:r>
      <w:r>
        <w:object w:dxaOrig="566" w:dyaOrig="263">
          <v:rect xmlns:o="urn:schemas-microsoft-com:office:office" xmlns:v="urn:schemas-microsoft-com:vml" id="rectole0000000016" style="width:28.300000pt;height:13.1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DrawAspect="Content" ObjectID="0000000016" ShapeID="rectole0000000016" r:id="docRId32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em 400 g de água, resultando uma solução com volume igual a 410 mL. Dados: </w:t>
      </w:r>
      <w:r>
        <w:object w:dxaOrig="1174" w:dyaOrig="546">
          <v:rect xmlns:o="urn:schemas-microsoft-com:office:office" xmlns:v="urn:schemas-microsoft-com:vml" id="rectole0000000017" style="width:58.700000pt;height:27.3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DrawAspect="Content" ObjectID="0000000017" ShapeID="rectole0000000017" r:id="docRId34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Qual a densidade dessa solução?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0,195 g/mL  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1,171 g/L  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c) 1,171 g/mL  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0,20 g/L   </w:t>
      </w:r>
    </w:p>
    <w:p>
      <w:pPr>
        <w:spacing w:before="0" w:after="0" w:line="240"/>
        <w:ind w:right="0" w:left="227" w:hanging="22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0,931 g/mL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Observe atentamente os processos cotidianos abaixo: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I. A secagem da roupa no varal;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II. A queima do carvão;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III. A filtração da água pela vela do filtro;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IV. Enferrujamento de uma peça de ferro;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V. Azedamento do leite.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Constituem fenômenos químicos: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II e V apenas.</w:t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b) II, IV e V apenas.</w:t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I, III e IV apenas.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I, II e III apenas.</w:t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I, II, III, IV e V.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10.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A água é encontrada na natureza em vários estados físicos e a sequência de transformações sofridas pela mesma é denominada ciclo da água. A figura seguinte representa duas etapas desse ciclo.</w: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As etapas do ciclo da água, representadas na figura pelas setas, são chamadas de:</w: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1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object w:dxaOrig="4771" w:dyaOrig="4089">
          <v:rect xmlns:o="urn:schemas-microsoft-com:office:office" xmlns:v="urn:schemas-microsoft-com:vml" id="rectole0000000018" style="width:238.550000pt;height:204.4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12"/>
          <w:shd w:fill="auto" w:val="clear"/>
        </w:rPr>
      </w:pP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a) calefação e liquefação.   </w: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b) ebulição e ressublimação.   </w:t>
      </w:r>
    </w:p>
    <w:p>
      <w:pPr>
        <w:tabs>
          <w:tab w:val="center" w:pos="4252" w:leader="none"/>
          <w:tab w:val="righ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c) vaporização e sublimação.   </w:t>
      </w:r>
    </w:p>
    <w:p>
      <w:pPr>
        <w:tabs>
          <w:tab w:val="left" w:pos="4252" w:leader="none"/>
          <w:tab w:val="lef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d) evaporação e condensação.</w:t>
      </w:r>
    </w:p>
    <w:p>
      <w:pPr>
        <w:tabs>
          <w:tab w:val="left" w:pos="4252" w:leader="none"/>
          <w:tab w:val="left" w:pos="85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e) evaporação e fusão   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Boa Avaliação!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numbering.xml" Id="docRId38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styles.xml" Id="docRId39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