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AF" w:rsidRDefault="004F03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1654"/>
        <w:gridCol w:w="3401"/>
        <w:gridCol w:w="1282"/>
        <w:gridCol w:w="1129"/>
        <w:gridCol w:w="1684"/>
        <w:gridCol w:w="236"/>
      </w:tblGrid>
      <w:tr w:rsidR="004F03AF">
        <w:trPr>
          <w:trHeight w:val="417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065C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26036</wp:posOffset>
                  </wp:positionH>
                  <wp:positionV relativeFrom="paragraph">
                    <wp:posOffset>73660</wp:posOffset>
                  </wp:positionV>
                  <wp:extent cx="590550" cy="81915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F03AF" w:rsidRDefault="00065CC2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COLÉGIO MARIA JOSÉ DA SILVA MELO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3AF" w:rsidRDefault="00065C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NOTA</w:t>
            </w:r>
          </w:p>
          <w:p w:rsidR="004F03AF" w:rsidRDefault="004F03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F03AF" w:rsidRDefault="004F03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F03AF" w:rsidRDefault="00065C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__________</w:t>
            </w: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F03AF" w:rsidRDefault="004F03A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F03AF">
        <w:trPr>
          <w:trHeight w:val="31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065CC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8° Ano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065CC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(a):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Eleuterio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065CC2">
            <w:pPr>
              <w:ind w:left="-1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Data: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27 /03/2021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F03AF">
        <w:trPr>
          <w:trHeight w:val="31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03AF" w:rsidRDefault="004F03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F03AF">
        <w:trPr>
          <w:trHeight w:val="276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52" w:rsidRDefault="00065CC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  <w:r w:rsidR="00816C5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Marina Beatriz </w:t>
            </w:r>
            <w:proofErr w:type="spellStart"/>
            <w:r w:rsidR="00816C5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rebêlo</w:t>
            </w:r>
            <w:proofErr w:type="spellEnd"/>
            <w:r w:rsidR="00816C5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matos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F" w:rsidRDefault="00065CC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Nº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03AF" w:rsidRDefault="004F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03AF">
        <w:trPr>
          <w:trHeight w:val="42"/>
        </w:trPr>
        <w:tc>
          <w:tcPr>
            <w:tcW w:w="10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03AF" w:rsidRDefault="00065CC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VERIFICAÇÃO DA APRENDIZAGEM DE ESPANHOL</w:t>
            </w:r>
          </w:p>
        </w:tc>
      </w:tr>
    </w:tbl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4F03AF" w:rsidRPr="005250F6" w:rsidRDefault="00065CC2">
      <w:pPr>
        <w:spacing w:after="0" w:line="240" w:lineRule="auto"/>
        <w:ind w:right="-24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Telefonía, </w:t>
      </w:r>
      <w:proofErr w:type="gramStart"/>
      <w:r w:rsidRPr="005250F6">
        <w:rPr>
          <w:rFonts w:ascii="Times New Roman" w:eastAsia="Times New Roman" w:hAnsi="Times New Roman" w:cs="Times New Roman"/>
          <w:sz w:val="26"/>
          <w:szCs w:val="26"/>
        </w:rPr>
        <w:t>Internet  y</w:t>
      </w:r>
      <w:proofErr w:type="gramEnd"/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ocio,  los  más  conflictivos  para  jóvenes  usuarios </w:t>
      </w:r>
    </w:p>
    <w:p w:rsidR="004F03AF" w:rsidRPr="005250F6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  <w:sz w:val="26"/>
          <w:szCs w:val="26"/>
        </w:rPr>
      </w:pP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La  UCE  y  el  Instituto  de  la  Juventud  editan  una  ‘Guía  para  Jóvenes  consumidores’ </w:t>
      </w:r>
    </w:p>
    <w:p w:rsidR="004F03AF" w:rsidRPr="005250F6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  <w:sz w:val="26"/>
          <w:szCs w:val="26"/>
        </w:rPr>
      </w:pP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ab/>
        <w:t>La  telefonía  móvil,  Internet,  las  líneas  aéreas  de  bajo  coste  y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el  ocio  vinculado  al  derecho  de  admisión  son  los  sectores  más conflictivos  para  los  jóvenes  usuarios.  Para  hacer  más  fácil  las  reclamaciones,  la  Unión  de  Consumidores  y  el  Instituto Andaluz  de  la  Juventud  (IAJ)  editan  una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guía  práctica. </w:t>
      </w:r>
    </w:p>
    <w:p w:rsidR="004F03AF" w:rsidRPr="005250F6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  <w:sz w:val="26"/>
          <w:szCs w:val="26"/>
        </w:rPr>
      </w:pP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ab/>
        <w:t>Existen  sectores  que,  como  el  de  las  Tecnologías  de  la  Información  y  la  Comunicación  (TIC)  o  las  líneas  de  bajo  coste, incumplen  reiteradamente  la  normativa  en  materia  de  consumo,  según  la  UCE.  Tel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>efonía  o  Internet  practican  la  publicidad engañosa  “de  manera  sistemática”  omitiendo  datos  fundamentales  para  el  consumidor  y  obligan  a  los  usuarios  a  pagar  por servicios  que  son  inherentes  a  la  propia  prestación,  como  la  fa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cturación  del  equipaje  o  la  impresión  de  la  tarjeta  de embarque. </w:t>
      </w:r>
    </w:p>
    <w:p w:rsidR="004F03AF" w:rsidRPr="005250F6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  <w:sz w:val="26"/>
          <w:szCs w:val="26"/>
        </w:rPr>
      </w:pP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ab/>
        <w:t xml:space="preserve">El  derecho  a  admisión  en  los  locales  de  ocio  es  muy  conflictivo  entre  los  jóvenes.  </w:t>
      </w:r>
      <w:proofErr w:type="gramStart"/>
      <w:r w:rsidRPr="005250F6">
        <w:rPr>
          <w:rFonts w:ascii="Times New Roman" w:eastAsia="Times New Roman" w:hAnsi="Times New Roman" w:cs="Times New Roman"/>
          <w:sz w:val="26"/>
          <w:szCs w:val="26"/>
        </w:rPr>
        <w:t>Es  algo</w:t>
      </w:r>
      <w:proofErr w:type="gramEnd"/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que, cada  vez,  lo  reivindican  más. Sin  embargo,  el  preside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nte  de  UCE-Jaén,  Alfonso  Ibáñez,  cree  que  es  necesario  que  las  administraciones  “impongan  más sanciones  ejemplarizantes  a  los  locales  que  lo  incumplen”. </w:t>
      </w:r>
    </w:p>
    <w:p w:rsidR="004F03AF" w:rsidRPr="005250F6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  <w:sz w:val="26"/>
          <w:szCs w:val="26"/>
        </w:rPr>
      </w:pP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ab/>
      </w:r>
      <w:r w:rsidRPr="005250F6">
        <w:rPr>
          <w:rFonts w:ascii="Times New Roman" w:eastAsia="Times New Roman" w:hAnsi="Times New Roman" w:cs="Times New Roman"/>
          <w:sz w:val="26"/>
          <w:szCs w:val="26"/>
        </w:rPr>
        <w:t>A  pesar  de  que  la  juventud  jienense  es  “bastante  responsable  y  reivindicativa”,  es  necesario,  según  el  presidente  de  UCE-Jaén,  Alfonso  Ibáñez,  que  se  refuerce  la  labor  de  inspección  y  sanción.  “</w:t>
      </w:r>
      <w:proofErr w:type="gramStart"/>
      <w:r w:rsidRPr="005250F6">
        <w:rPr>
          <w:rFonts w:ascii="Times New Roman" w:eastAsia="Times New Roman" w:hAnsi="Times New Roman" w:cs="Times New Roman"/>
          <w:sz w:val="26"/>
          <w:szCs w:val="26"/>
        </w:rPr>
        <w:t>De  nada</w:t>
      </w:r>
      <w:proofErr w:type="gramEnd"/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sirve  reclamar  cuand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o  a  algunas  empresas </w:t>
      </w:r>
    </w:p>
    <w:p w:rsidR="004F03AF" w:rsidRPr="005250F6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  <w:sz w:val="26"/>
          <w:szCs w:val="26"/>
        </w:rPr>
      </w:pP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les  sale  más  rentable  hacer  frente  a  las  posibles  sanciones”, apostilló. </w:t>
      </w:r>
    </w:p>
    <w:p w:rsidR="004F03AF" w:rsidRPr="005250F6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  <w:sz w:val="26"/>
          <w:szCs w:val="26"/>
        </w:rPr>
      </w:pP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Se  editarán  6.000  guías Se  han  editado  6.000  ejemplares  de  una  guía  que  se  distribuirá  por  toda  Andalucía.  El  documento  no  sólo 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plantea situaciones  conflictivas,  sino  que  ofrece  una  serie  de  instrucciones  y  recomendaciones  útiles  para  que  “los  jóvenes consuman  de  una  manera  consciente  y  responsable”,  según  el  coordinador  del  IAJ,  Carlos  Hinojosa. </w:t>
      </w:r>
    </w:p>
    <w:p w:rsidR="004F03AF" w:rsidRPr="005250F6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  <w:sz w:val="26"/>
          <w:szCs w:val="26"/>
        </w:rPr>
      </w:pP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ab/>
        <w:t xml:space="preserve">La  guía  aborda  cuestiones  que  van  desde  los  derechos  de  los  jóvenes  hasta  la  compra  de  la  vivienda  pasando  por  el contrato  de  suministros  esenciales,  las  compras  compulsivas  o  la  salud. </w:t>
      </w:r>
    </w:p>
    <w:p w:rsidR="004F03AF" w:rsidRDefault="004F03AF">
      <w:pPr>
        <w:spacing w:after="0" w:line="240" w:lineRule="auto"/>
        <w:ind w:right="-24"/>
        <w:rPr>
          <w:rFonts w:ascii="Times New Roman" w:eastAsia="Times New Roman" w:hAnsi="Times New Roman" w:cs="Times New Roman"/>
          <w:sz w:val="8"/>
          <w:szCs w:val="8"/>
        </w:rPr>
      </w:pP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01) </w:t>
      </w:r>
      <w:r>
        <w:rPr>
          <w:rFonts w:ascii="Times New Roman" w:eastAsia="Times New Roman" w:hAnsi="Times New Roman" w:cs="Times New Roman"/>
        </w:rPr>
        <w:t>¿</w:t>
      </w:r>
      <w:proofErr w:type="gramStart"/>
      <w:r>
        <w:rPr>
          <w:rFonts w:ascii="Times New Roman" w:eastAsia="Times New Roman" w:hAnsi="Times New Roman" w:cs="Times New Roman"/>
        </w:rPr>
        <w:t>Cuáles  son</w:t>
      </w:r>
      <w:proofErr w:type="gramEnd"/>
      <w:r>
        <w:rPr>
          <w:rFonts w:ascii="Times New Roman" w:eastAsia="Times New Roman" w:hAnsi="Times New Roman" w:cs="Times New Roman"/>
        </w:rPr>
        <w:t xml:space="preserve">  los  sec</w:t>
      </w:r>
      <w:r>
        <w:rPr>
          <w:rFonts w:ascii="Times New Roman" w:eastAsia="Times New Roman" w:hAnsi="Times New Roman" w:cs="Times New Roman"/>
        </w:rPr>
        <w:t xml:space="preserve">tores  más  conflictivos  para  los  jóvenes? </w:t>
      </w:r>
    </w:p>
    <w:p w:rsidR="005250F6" w:rsidRPr="005250F6" w:rsidRDefault="00816C52">
      <w:pPr>
        <w:spacing w:after="0" w:line="240" w:lineRule="auto"/>
        <w:ind w:right="-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R</w:t>
      </w:r>
      <w:r w:rsidRPr="009A1E71">
        <w:rPr>
          <w:rFonts w:ascii="Times New Roman" w:eastAsia="Times New Roman" w:hAnsi="Times New Roman" w:cs="Times New Roman"/>
          <w:b/>
        </w:rPr>
        <w:t>:</w:t>
      </w:r>
      <w:r w:rsidR="005250F6" w:rsidRPr="009A1E71">
        <w:rPr>
          <w:rFonts w:ascii="Times New Roman" w:eastAsia="Times New Roman" w:hAnsi="Times New Roman" w:cs="Times New Roman"/>
          <w:b/>
        </w:rPr>
        <w:t xml:space="preserve"> </w:t>
      </w:r>
      <w:r w:rsidRPr="009A1E71">
        <w:rPr>
          <w:rFonts w:ascii="Times New Roman" w:eastAsia="Times New Roman" w:hAnsi="Times New Roman" w:cs="Times New Roman"/>
          <w:b/>
          <w:sz w:val="26"/>
          <w:szCs w:val="26"/>
        </w:rPr>
        <w:t xml:space="preserve">La telefonía móvil, internet, las líneas </w:t>
      </w:r>
      <w:proofErr w:type="spellStart"/>
      <w:r w:rsidRPr="009A1E71">
        <w:rPr>
          <w:rFonts w:ascii="Times New Roman" w:eastAsia="Times New Roman" w:hAnsi="Times New Roman" w:cs="Times New Roman"/>
          <w:b/>
          <w:sz w:val="26"/>
          <w:szCs w:val="26"/>
        </w:rPr>
        <w:t>aéras</w:t>
      </w:r>
      <w:proofErr w:type="spellEnd"/>
      <w:r w:rsidRPr="009A1E71">
        <w:rPr>
          <w:rFonts w:ascii="Times New Roman" w:eastAsia="Times New Roman" w:hAnsi="Times New Roman" w:cs="Times New Roman"/>
          <w:b/>
          <w:sz w:val="26"/>
          <w:szCs w:val="26"/>
        </w:rPr>
        <w:t xml:space="preserve"> de bajo coste y el ocio vinculado al derecho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1E71">
        <w:rPr>
          <w:rFonts w:ascii="Times New Roman" w:eastAsia="Times New Roman" w:hAnsi="Times New Roman" w:cs="Times New Roman"/>
          <w:b/>
          <w:sz w:val="26"/>
          <w:szCs w:val="26"/>
        </w:rPr>
        <w:t>de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C4A">
        <w:rPr>
          <w:rFonts w:ascii="Times New Roman" w:eastAsia="Times New Roman" w:hAnsi="Times New Roman" w:cs="Times New Roman"/>
          <w:b/>
          <w:sz w:val="26"/>
          <w:szCs w:val="26"/>
        </w:rPr>
        <w:t>admisión</w:t>
      </w:r>
      <w:r w:rsidRPr="005250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02) </w:t>
      </w:r>
      <w:r>
        <w:rPr>
          <w:rFonts w:ascii="Times New Roman" w:eastAsia="Times New Roman" w:hAnsi="Times New Roman" w:cs="Times New Roman"/>
        </w:rPr>
        <w:t xml:space="preserve">¿Según  la  UCE  como  ajen  estos  sectores  de  tecnologías  y  comunicación? </w:t>
      </w:r>
    </w:p>
    <w:p w:rsidR="005250F6" w:rsidRDefault="005250F6">
      <w:pPr>
        <w:spacing w:after="0" w:line="240" w:lineRule="auto"/>
        <w:ind w:right="-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R: </w:t>
      </w:r>
      <w:r w:rsidRPr="009A1E71">
        <w:rPr>
          <w:rFonts w:ascii="Times New Roman" w:eastAsia="Times New Roman" w:hAnsi="Times New Roman" w:cs="Times New Roman"/>
          <w:b/>
          <w:sz w:val="26"/>
          <w:szCs w:val="26"/>
        </w:rPr>
        <w:t xml:space="preserve">O las líneas de bajo coste, incumplen reiteradamente la normativa en </w:t>
      </w:r>
      <w:proofErr w:type="gramStart"/>
      <w:r w:rsidRPr="009A1E71">
        <w:rPr>
          <w:rFonts w:ascii="Times New Roman" w:eastAsia="Times New Roman" w:hAnsi="Times New Roman" w:cs="Times New Roman"/>
          <w:b/>
          <w:sz w:val="26"/>
          <w:szCs w:val="26"/>
        </w:rPr>
        <w:t>materia  de</w:t>
      </w:r>
      <w:proofErr w:type="gramEnd"/>
      <w:r w:rsidRPr="009A1E71">
        <w:rPr>
          <w:rFonts w:ascii="Times New Roman" w:eastAsia="Times New Roman" w:hAnsi="Times New Roman" w:cs="Times New Roman"/>
          <w:b/>
          <w:sz w:val="26"/>
          <w:szCs w:val="26"/>
        </w:rPr>
        <w:t xml:space="preserve"> consumo</w:t>
      </w:r>
    </w:p>
    <w:p w:rsidR="004F03AF" w:rsidRDefault="005250F6">
      <w:pPr>
        <w:spacing w:after="0" w:line="240" w:lineRule="auto"/>
        <w:ind w:right="-2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03) </w:t>
      </w:r>
      <w:r>
        <w:rPr>
          <w:rFonts w:ascii="Times New Roman" w:eastAsia="Times New Roman" w:hAnsi="Times New Roman" w:cs="Times New Roman"/>
        </w:rPr>
        <w:t xml:space="preserve">¿Qué  cree  el  presidente  de  la  UCE  que  es  necesario </w:t>
      </w:r>
      <w:r>
        <w:rPr>
          <w:rFonts w:ascii="Times New Roman" w:eastAsia="Times New Roman" w:hAnsi="Times New Roman" w:cs="Times New Roman"/>
        </w:rPr>
        <w:t xml:space="preserve"> hacer  ayudar  estos  jóvenes? </w:t>
      </w:r>
    </w:p>
    <w:p w:rsidR="005250F6" w:rsidRPr="009A1E71" w:rsidRDefault="009A1E71">
      <w:pPr>
        <w:spacing w:after="0" w:line="240" w:lineRule="auto"/>
        <w:ind w:right="-2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R: </w:t>
      </w:r>
      <w:r w:rsidRPr="009A1E71">
        <w:rPr>
          <w:rFonts w:ascii="Times New Roman" w:eastAsia="Times New Roman" w:hAnsi="Times New Roman" w:cs="Times New Roman"/>
          <w:b/>
          <w:sz w:val="26"/>
          <w:szCs w:val="26"/>
        </w:rPr>
        <w:t xml:space="preserve">Se </w:t>
      </w:r>
      <w:proofErr w:type="spellStart"/>
      <w:r w:rsidRPr="009A1E71">
        <w:rPr>
          <w:rFonts w:ascii="Times New Roman" w:eastAsia="Times New Roman" w:hAnsi="Times New Roman" w:cs="Times New Roman"/>
          <w:b/>
          <w:sz w:val="26"/>
          <w:szCs w:val="26"/>
        </w:rPr>
        <w:t>refurce</w:t>
      </w:r>
      <w:proofErr w:type="spellEnd"/>
      <w:r w:rsidRPr="009A1E71">
        <w:rPr>
          <w:rFonts w:ascii="Times New Roman" w:eastAsia="Times New Roman" w:hAnsi="Times New Roman" w:cs="Times New Roman"/>
          <w:b/>
          <w:sz w:val="26"/>
          <w:szCs w:val="26"/>
        </w:rPr>
        <w:t xml:space="preserve"> la labor de inspección y sanción</w:t>
      </w:r>
      <w:r w:rsidRPr="009A1E71">
        <w:rPr>
          <w:rFonts w:ascii="Times New Roman" w:eastAsia="Times New Roman" w:hAnsi="Times New Roman" w:cs="Times New Roman"/>
          <w:b/>
        </w:rPr>
        <w:t xml:space="preserve"> </w:t>
      </w:r>
    </w:p>
    <w:p w:rsidR="004F03AF" w:rsidRDefault="004F03AF">
      <w:pPr>
        <w:spacing w:after="0" w:line="240" w:lineRule="auto"/>
        <w:ind w:right="-24"/>
        <w:rPr>
          <w:rFonts w:ascii="Times New Roman" w:eastAsia="Times New Roman" w:hAnsi="Times New Roman" w:cs="Times New Roman"/>
          <w:sz w:val="12"/>
          <w:szCs w:val="12"/>
        </w:rPr>
      </w:pP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04) </w:t>
      </w:r>
      <w:r>
        <w:rPr>
          <w:rFonts w:ascii="Times New Roman" w:eastAsia="Times New Roman" w:hAnsi="Times New Roman" w:cs="Times New Roman"/>
        </w:rPr>
        <w:t xml:space="preserve">¿Qué </w:t>
      </w:r>
      <w:proofErr w:type="gramStart"/>
      <w:r>
        <w:rPr>
          <w:rFonts w:ascii="Times New Roman" w:eastAsia="Times New Roman" w:hAnsi="Times New Roman" w:cs="Times New Roman"/>
        </w:rPr>
        <w:t>consta  en</w:t>
      </w:r>
      <w:proofErr w:type="gramEnd"/>
      <w:r>
        <w:rPr>
          <w:rFonts w:ascii="Times New Roman" w:eastAsia="Times New Roman" w:hAnsi="Times New Roman" w:cs="Times New Roman"/>
        </w:rPr>
        <w:t xml:space="preserve">  ese  documento? </w:t>
      </w:r>
    </w:p>
    <w:p w:rsidR="004F03AF" w:rsidRPr="009A1E71" w:rsidRDefault="009A1E71">
      <w:pPr>
        <w:spacing w:after="0" w:line="240" w:lineRule="auto"/>
        <w:ind w:right="-2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R: </w:t>
      </w:r>
      <w:r w:rsidRPr="009A1E71">
        <w:rPr>
          <w:rFonts w:ascii="Times New Roman" w:eastAsia="Times New Roman" w:hAnsi="Times New Roman" w:cs="Times New Roman"/>
          <w:b/>
        </w:rPr>
        <w:t xml:space="preserve">Una serie de instrucciones y recomendaciones útiles para que los </w:t>
      </w:r>
      <w:proofErr w:type="spellStart"/>
      <w:r w:rsidRPr="009A1E71">
        <w:rPr>
          <w:rFonts w:ascii="Times New Roman" w:eastAsia="Times New Roman" w:hAnsi="Times New Roman" w:cs="Times New Roman"/>
          <w:b/>
        </w:rPr>
        <w:t>jóvenos</w:t>
      </w:r>
      <w:proofErr w:type="spellEnd"/>
      <w:r w:rsidRPr="009A1E71">
        <w:rPr>
          <w:rFonts w:ascii="Times New Roman" w:eastAsia="Times New Roman" w:hAnsi="Times New Roman" w:cs="Times New Roman"/>
          <w:b/>
        </w:rPr>
        <w:t xml:space="preserve"> consumas de una manera consciente y </w:t>
      </w:r>
      <w:proofErr w:type="spellStart"/>
      <w:r w:rsidRPr="009A1E71">
        <w:rPr>
          <w:rFonts w:ascii="Times New Roman" w:eastAsia="Times New Roman" w:hAnsi="Times New Roman" w:cs="Times New Roman"/>
          <w:b/>
        </w:rPr>
        <w:t>responnsables</w:t>
      </w:r>
      <w:proofErr w:type="spellEnd"/>
    </w:p>
    <w:p w:rsidR="004F03AF" w:rsidRPr="009A1E71" w:rsidRDefault="004F03AF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05) </w:t>
      </w:r>
      <w:r>
        <w:rPr>
          <w:rFonts w:ascii="Times New Roman" w:eastAsia="Times New Roman" w:hAnsi="Times New Roman" w:cs="Times New Roman"/>
        </w:rPr>
        <w:t xml:space="preserve">Nosotros </w:t>
      </w:r>
      <w:proofErr w:type="gramStart"/>
      <w:r>
        <w:rPr>
          <w:rFonts w:ascii="Times New Roman" w:eastAsia="Times New Roman" w:hAnsi="Times New Roman" w:cs="Times New Roman"/>
        </w:rPr>
        <w:t>veremos  el</w:t>
      </w:r>
      <w:proofErr w:type="gramEnd"/>
      <w:r>
        <w:rPr>
          <w:rFonts w:ascii="Times New Roman" w:eastAsia="Times New Roman" w:hAnsi="Times New Roman" w:cs="Times New Roman"/>
        </w:rPr>
        <w:t xml:space="preserve"> teatro de una ciudad muy importante como Rio de Janeiro.</w:t>
      </w:r>
    </w:p>
    <w:p w:rsidR="004F03AF" w:rsidRDefault="004F03AF">
      <w:pPr>
        <w:spacing w:after="0" w:line="240" w:lineRule="auto"/>
        <w:ind w:right="-24"/>
        <w:rPr>
          <w:rFonts w:ascii="Times New Roman" w:eastAsia="Times New Roman" w:hAnsi="Times New Roman" w:cs="Times New Roman"/>
          <w:sz w:val="6"/>
          <w:szCs w:val="6"/>
        </w:rPr>
      </w:pP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Nosotros </w:t>
      </w:r>
      <w:proofErr w:type="gramStart"/>
      <w:r>
        <w:rPr>
          <w:rFonts w:ascii="Times New Roman" w:eastAsia="Times New Roman" w:hAnsi="Times New Roman" w:cs="Times New Roman"/>
        </w:rPr>
        <w:t>vais  a</w:t>
      </w:r>
      <w:proofErr w:type="gramEnd"/>
      <w:r>
        <w:rPr>
          <w:rFonts w:ascii="Times New Roman" w:eastAsia="Times New Roman" w:hAnsi="Times New Roman" w:cs="Times New Roman"/>
        </w:rPr>
        <w:t xml:space="preserve"> ver el teatro de una ciudad muy importante como Rio de Janeiro.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 w:rsidRPr="000E6C4A">
        <w:rPr>
          <w:rFonts w:ascii="Times New Roman" w:eastAsia="Times New Roman" w:hAnsi="Times New Roman" w:cs="Times New Roman"/>
          <w:b/>
          <w:u w:val="single"/>
        </w:rPr>
        <w:t>b) Nosotros vamos a ver el teatro de una ciudad muy importante como Rio de Janeiro</w:t>
      </w:r>
      <w:r>
        <w:rPr>
          <w:rFonts w:ascii="Times New Roman" w:eastAsia="Times New Roman" w:hAnsi="Times New Roman" w:cs="Times New Roman"/>
        </w:rPr>
        <w:t>.</w:t>
      </w:r>
      <w:r w:rsidR="000E6C4A">
        <w:rPr>
          <w:rFonts w:ascii="Times New Roman" w:eastAsia="Times New Roman" w:hAnsi="Times New Roman" w:cs="Times New Roman"/>
        </w:rPr>
        <w:t xml:space="preserve"> X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Nosotr</w:t>
      </w:r>
      <w:r>
        <w:rPr>
          <w:rFonts w:ascii="Times New Roman" w:eastAsia="Times New Roman" w:hAnsi="Times New Roman" w:cs="Times New Roman"/>
        </w:rPr>
        <w:t>os voy a ver el teatro de una ciudad muy importante como Rio de Janeiro.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Nosotros vas </w:t>
      </w:r>
      <w:proofErr w:type="gramStart"/>
      <w:r>
        <w:rPr>
          <w:rFonts w:ascii="Times New Roman" w:eastAsia="Times New Roman" w:hAnsi="Times New Roman" w:cs="Times New Roman"/>
        </w:rPr>
        <w:t>a  ver</w:t>
      </w:r>
      <w:proofErr w:type="gramEnd"/>
      <w:r>
        <w:rPr>
          <w:rFonts w:ascii="Times New Roman" w:eastAsia="Times New Roman" w:hAnsi="Times New Roman" w:cs="Times New Roman"/>
        </w:rPr>
        <w:t xml:space="preserve"> el teatro de una ciudad muy importante como Rio de Janeiro</w:t>
      </w:r>
    </w:p>
    <w:p w:rsidR="004F03AF" w:rsidRDefault="004F03AF">
      <w:pPr>
        <w:spacing w:after="0" w:line="240" w:lineRule="auto"/>
        <w:ind w:right="-24"/>
        <w:rPr>
          <w:rFonts w:ascii="Times New Roman" w:eastAsia="Times New Roman" w:hAnsi="Times New Roman" w:cs="Times New Roman"/>
          <w:sz w:val="10"/>
          <w:szCs w:val="10"/>
        </w:rPr>
      </w:pP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06) </w:t>
      </w:r>
      <w:r>
        <w:rPr>
          <w:rFonts w:ascii="Times New Roman" w:eastAsia="Times New Roman" w:hAnsi="Times New Roman" w:cs="Times New Roman"/>
        </w:rPr>
        <w:t>Vosotros venderéis el coche para compra un nuevo.</w:t>
      </w:r>
    </w:p>
    <w:p w:rsidR="004F03AF" w:rsidRDefault="004F03AF">
      <w:pPr>
        <w:spacing w:after="0" w:line="240" w:lineRule="auto"/>
        <w:ind w:right="-24"/>
        <w:rPr>
          <w:rFonts w:ascii="Times New Roman" w:eastAsia="Times New Roman" w:hAnsi="Times New Roman" w:cs="Times New Roman"/>
          <w:sz w:val="6"/>
          <w:szCs w:val="6"/>
        </w:rPr>
      </w:pP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Vosotros vamos a vender el coche p</w:t>
      </w:r>
      <w:r>
        <w:rPr>
          <w:rFonts w:ascii="Times New Roman" w:eastAsia="Times New Roman" w:hAnsi="Times New Roman" w:cs="Times New Roman"/>
        </w:rPr>
        <w:t>ara compra un nuevo.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Vosotros venderéis el coche para compra un nuevo.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Vosotros va a </w:t>
      </w:r>
      <w:proofErr w:type="spellStart"/>
      <w:r>
        <w:rPr>
          <w:rFonts w:ascii="Times New Roman" w:eastAsia="Times New Roman" w:hAnsi="Times New Roman" w:cs="Times New Roman"/>
        </w:rPr>
        <w:t>venderes</w:t>
      </w:r>
      <w:proofErr w:type="spellEnd"/>
      <w:r>
        <w:rPr>
          <w:rFonts w:ascii="Times New Roman" w:eastAsia="Times New Roman" w:hAnsi="Times New Roman" w:cs="Times New Roman"/>
        </w:rPr>
        <w:t xml:space="preserve"> el coche para compra un nuevo.</w:t>
      </w:r>
    </w:p>
    <w:p w:rsidR="004F03AF" w:rsidRPr="000E6C4A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  <w:b/>
        </w:rPr>
      </w:pPr>
      <w:r w:rsidRPr="000E6C4A">
        <w:rPr>
          <w:rFonts w:ascii="Times New Roman" w:eastAsia="Times New Roman" w:hAnsi="Times New Roman" w:cs="Times New Roman"/>
          <w:b/>
        </w:rPr>
        <w:t xml:space="preserve">d) Vosotros </w:t>
      </w:r>
      <w:proofErr w:type="spellStart"/>
      <w:r w:rsidRPr="000E6C4A">
        <w:rPr>
          <w:rFonts w:ascii="Times New Roman" w:eastAsia="Times New Roman" w:hAnsi="Times New Roman" w:cs="Times New Roman"/>
          <w:b/>
        </w:rPr>
        <w:t>váis</w:t>
      </w:r>
      <w:proofErr w:type="spellEnd"/>
      <w:r w:rsidRPr="000E6C4A">
        <w:rPr>
          <w:rFonts w:ascii="Times New Roman" w:eastAsia="Times New Roman" w:hAnsi="Times New Roman" w:cs="Times New Roman"/>
          <w:b/>
        </w:rPr>
        <w:t xml:space="preserve"> a vender el coche para compra un nuevo.</w:t>
      </w:r>
      <w:r>
        <w:rPr>
          <w:rFonts w:ascii="Times New Roman" w:eastAsia="Times New Roman" w:hAnsi="Times New Roman" w:cs="Times New Roman"/>
          <w:b/>
        </w:rPr>
        <w:t xml:space="preserve"> X</w:t>
      </w:r>
      <w:bookmarkStart w:id="1" w:name="_GoBack"/>
      <w:bookmarkEnd w:id="1"/>
      <w:r w:rsidRPr="000E6C4A">
        <w:rPr>
          <w:rFonts w:ascii="Times New Roman" w:eastAsia="Times New Roman" w:hAnsi="Times New Roman" w:cs="Times New Roman"/>
          <w:b/>
        </w:rPr>
        <w:t> 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07) </w:t>
      </w:r>
      <w:r>
        <w:rPr>
          <w:rFonts w:ascii="Times New Roman" w:eastAsia="Times New Roman" w:hAnsi="Times New Roman" w:cs="Times New Roman"/>
        </w:rPr>
        <w:t>Completa  las  frases  con  la  perífrasis  de  futuro:  Ir  +  a  +  infinitivo.</w:t>
      </w:r>
    </w:p>
    <w:p w:rsidR="004F03AF" w:rsidRDefault="004F03AF">
      <w:pPr>
        <w:spacing w:after="0" w:line="240" w:lineRule="auto"/>
        <w:ind w:right="-24"/>
        <w:rPr>
          <w:rFonts w:ascii="Times New Roman" w:eastAsia="Times New Roman" w:hAnsi="Times New Roman" w:cs="Times New Roman"/>
          <w:sz w:val="8"/>
          <w:szCs w:val="8"/>
        </w:rPr>
      </w:pP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 </w:t>
      </w:r>
      <w:proofErr w:type="gramStart"/>
      <w:r>
        <w:rPr>
          <w:rFonts w:ascii="Times New Roman" w:eastAsia="Times New Roman" w:hAnsi="Times New Roman" w:cs="Times New Roman"/>
        </w:rPr>
        <w:t xml:space="preserve">Mañana  </w:t>
      </w:r>
      <w:r w:rsidRPr="00CB7792">
        <w:rPr>
          <w:rFonts w:ascii="Times New Roman" w:eastAsia="Times New Roman" w:hAnsi="Times New Roman" w:cs="Times New Roman"/>
          <w:b/>
        </w:rPr>
        <w:t>yo</w:t>
      </w:r>
      <w:proofErr w:type="gramEnd"/>
      <w:r w:rsidRPr="00CB7792">
        <w:rPr>
          <w:rFonts w:ascii="Times New Roman" w:eastAsia="Times New Roman" w:hAnsi="Times New Roman" w:cs="Times New Roman"/>
          <w:b/>
        </w:rPr>
        <w:t xml:space="preserve">  </w:t>
      </w:r>
      <w:r w:rsidR="00CB7792" w:rsidRPr="00CB7792">
        <w:rPr>
          <w:rFonts w:ascii="Times New Roman" w:eastAsia="Times New Roman" w:hAnsi="Times New Roman" w:cs="Times New Roman"/>
          <w:b/>
        </w:rPr>
        <w:t>voy a salir</w:t>
      </w:r>
      <w:r>
        <w:rPr>
          <w:rFonts w:ascii="Times New Roman" w:eastAsia="Times New Roman" w:hAnsi="Times New Roman" w:cs="Times New Roman"/>
        </w:rPr>
        <w:t xml:space="preserve">  (salir)  con  mis  amigos. 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 </w:t>
      </w:r>
      <w:proofErr w:type="gramStart"/>
      <w:r>
        <w:rPr>
          <w:rFonts w:ascii="Times New Roman" w:eastAsia="Times New Roman" w:hAnsi="Times New Roman" w:cs="Times New Roman"/>
        </w:rPr>
        <w:t xml:space="preserve">Y  </w:t>
      </w:r>
      <w:r w:rsidR="00CB7792">
        <w:rPr>
          <w:rFonts w:ascii="Times New Roman" w:eastAsia="Times New Roman" w:hAnsi="Times New Roman" w:cs="Times New Roman"/>
        </w:rPr>
        <w:t>tú</w:t>
      </w:r>
      <w:proofErr w:type="gramEnd"/>
      <w:r w:rsidR="00CB7792">
        <w:rPr>
          <w:rFonts w:ascii="Times New Roman" w:eastAsia="Times New Roman" w:hAnsi="Times New Roman" w:cs="Times New Roman"/>
        </w:rPr>
        <w:t xml:space="preserve">,  ¿  </w:t>
      </w:r>
      <w:r w:rsidR="00CB7792">
        <w:rPr>
          <w:rFonts w:ascii="Times New Roman" w:eastAsia="Times New Roman" w:hAnsi="Times New Roman" w:cs="Times New Roman"/>
          <w:b/>
        </w:rPr>
        <w:t>vas a estudiar</w:t>
      </w:r>
      <w:r>
        <w:rPr>
          <w:rFonts w:ascii="Times New Roman" w:eastAsia="Times New Roman" w:hAnsi="Times New Roman" w:cs="Times New Roman"/>
        </w:rPr>
        <w:t xml:space="preserve">  (estudiar)  matemáticas? </w:t>
      </w:r>
    </w:p>
    <w:p w:rsidR="004F03AF" w:rsidRDefault="00CB779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 </w:t>
      </w:r>
      <w:proofErr w:type="gramStart"/>
      <w:r>
        <w:rPr>
          <w:rFonts w:ascii="Times New Roman" w:eastAsia="Times New Roman" w:hAnsi="Times New Roman" w:cs="Times New Roman"/>
        </w:rPr>
        <w:t xml:space="preserve">Juliana  </w:t>
      </w:r>
      <w:r>
        <w:rPr>
          <w:rFonts w:ascii="Times New Roman" w:eastAsia="Times New Roman" w:hAnsi="Times New Roman" w:cs="Times New Roman"/>
          <w:b/>
        </w:rPr>
        <w:t>va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 ver</w:t>
      </w:r>
      <w:r w:rsidR="00065CC2">
        <w:rPr>
          <w:rFonts w:ascii="Times New Roman" w:eastAsia="Times New Roman" w:hAnsi="Times New Roman" w:cs="Times New Roman"/>
        </w:rPr>
        <w:t xml:space="preserve">  (ver)  una  película  en  el  cine. 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 </w:t>
      </w:r>
      <w:proofErr w:type="gramStart"/>
      <w:r>
        <w:rPr>
          <w:rFonts w:ascii="Times New Roman" w:eastAsia="Times New Roman" w:hAnsi="Times New Roman" w:cs="Times New Roman"/>
        </w:rPr>
        <w:t>El  fin</w:t>
      </w:r>
      <w:proofErr w:type="gramEnd"/>
      <w:r>
        <w:rPr>
          <w:rFonts w:ascii="Times New Roman" w:eastAsia="Times New Roman" w:hAnsi="Times New Roman" w:cs="Times New Roman"/>
        </w:rPr>
        <w:t xml:space="preserve">  de  semana  nos</w:t>
      </w:r>
      <w:r w:rsidR="00CB7792">
        <w:rPr>
          <w:rFonts w:ascii="Times New Roman" w:eastAsia="Times New Roman" w:hAnsi="Times New Roman" w:cs="Times New Roman"/>
        </w:rPr>
        <w:t xml:space="preserve">otros  </w:t>
      </w:r>
      <w:r w:rsidR="00CB7792">
        <w:rPr>
          <w:rFonts w:ascii="Times New Roman" w:eastAsia="Times New Roman" w:hAnsi="Times New Roman" w:cs="Times New Roman"/>
          <w:b/>
        </w:rPr>
        <w:t>vamos a conocer</w:t>
      </w:r>
      <w:r>
        <w:rPr>
          <w:rFonts w:ascii="Times New Roman" w:eastAsia="Times New Roman" w:hAnsi="Times New Roman" w:cs="Times New Roman"/>
        </w:rPr>
        <w:t xml:space="preserve">  (conocer)  una  cascada  estupenda. </w:t>
      </w:r>
    </w:p>
    <w:p w:rsidR="004F03AF" w:rsidRDefault="00065CC2">
      <w:pPr>
        <w:spacing w:after="0" w:line="240" w:lineRule="auto"/>
        <w:ind w:right="-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e)  </w:t>
      </w:r>
      <w:proofErr w:type="gramStart"/>
      <w:r>
        <w:rPr>
          <w:rFonts w:ascii="Times New Roman" w:eastAsia="Times New Roman" w:hAnsi="Times New Roman" w:cs="Times New Roman"/>
        </w:rPr>
        <w:t>Los  alumn</w:t>
      </w:r>
      <w:r w:rsidR="00CB7792">
        <w:rPr>
          <w:rFonts w:ascii="Times New Roman" w:eastAsia="Times New Roman" w:hAnsi="Times New Roman" w:cs="Times New Roman"/>
        </w:rPr>
        <w:t>os</w:t>
      </w:r>
      <w:proofErr w:type="gramEnd"/>
      <w:r w:rsidR="00CB7792">
        <w:rPr>
          <w:rFonts w:ascii="Times New Roman" w:eastAsia="Times New Roman" w:hAnsi="Times New Roman" w:cs="Times New Roman"/>
        </w:rPr>
        <w:t xml:space="preserve">  </w:t>
      </w:r>
      <w:r w:rsidR="00CB7792">
        <w:rPr>
          <w:rFonts w:ascii="Times New Roman" w:eastAsia="Times New Roman" w:hAnsi="Times New Roman" w:cs="Times New Roman"/>
          <w:b/>
        </w:rPr>
        <w:t>van a escribir</w:t>
      </w:r>
      <w:r>
        <w:rPr>
          <w:rFonts w:ascii="Times New Roman" w:eastAsia="Times New Roman" w:hAnsi="Times New Roman" w:cs="Times New Roman"/>
        </w:rPr>
        <w:t xml:space="preserve">  (escribir)  una  carta  al  director.</w:t>
      </w:r>
    </w:p>
    <w:p w:rsidR="004F03AF" w:rsidRDefault="004F03A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F03AF" w:rsidRDefault="00065CC2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Lee el texto a continuación. </w:t>
      </w:r>
    </w:p>
    <w:p w:rsidR="004F03AF" w:rsidRDefault="00065CC2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democracia frente a otras formas de gobierno</w:t>
      </w:r>
    </w:p>
    <w:p w:rsidR="004F03AF" w:rsidRDefault="004F03AF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F03AF" w:rsidRDefault="00065CC2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Aristóteles debemos la primera clasificación de las formas de gobierno, en función del número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 gobernantes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Así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monarquía se  caracteriza  por  el  gobierno  de  uno,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la aristocracia por  el gobierno de pocos, y la república por el gobierno de la mayoría (en otras ocasiones «todos»); por el contrario, degeneraciones suyas son: de la monarquía, la tiranía; de la aristocracia, la tiranía; y de la república, la democraci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(en otras ocasiones habla de demagogia). </w:t>
      </w:r>
    </w:p>
    <w:p w:rsidR="004F03AF" w:rsidRDefault="004F03A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F03AF" w:rsidRDefault="00065CC2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08)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Circula la sílaba fuerte de las palabras subrayadas. </w:t>
      </w:r>
    </w:p>
    <w:p w:rsidR="004F03AF" w:rsidRDefault="00CB7792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B77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Nú</w:t>
      </w:r>
      <w:r>
        <w:rPr>
          <w:rFonts w:ascii="Times New Roman" w:eastAsia="Times New Roman" w:hAnsi="Times New Roman" w:cs="Times New Roman"/>
          <w:sz w:val="24"/>
          <w:szCs w:val="24"/>
        </w:rPr>
        <w:t>mero, re</w:t>
      </w:r>
      <w:r w:rsidRPr="00CB77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pú</w:t>
      </w:r>
      <w:r>
        <w:rPr>
          <w:rFonts w:ascii="Times New Roman" w:eastAsia="Times New Roman" w:hAnsi="Times New Roman" w:cs="Times New Roman"/>
          <w:sz w:val="24"/>
          <w:szCs w:val="24"/>
        </w:rPr>
        <w:t>blica</w:t>
      </w:r>
    </w:p>
    <w:p w:rsidR="004F03AF" w:rsidRDefault="00065CC2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4F03AF" w:rsidRDefault="00065CC2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09)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Explica qué tienen en común esas palabras. </w:t>
      </w:r>
    </w:p>
    <w:p w:rsidR="004F03AF" w:rsidRDefault="003942E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R; O acento agudo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silabas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F03AF" w:rsidRDefault="00065CC2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4F03AF" w:rsidRDefault="00065CC2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Explica en qué se diferencian estas palabras. </w:t>
      </w:r>
    </w:p>
    <w:p w:rsidR="004F03AF" w:rsidRDefault="00B90EB5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R;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primeira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2EF">
        <w:rPr>
          <w:rFonts w:ascii="Times New Roman" w:eastAsia="Times New Roman" w:hAnsi="Times New Roman" w:cs="Times New Roman"/>
          <w:sz w:val="24"/>
          <w:szCs w:val="24"/>
        </w:rPr>
        <w:t>palavra</w:t>
      </w:r>
      <w:proofErr w:type="spellEnd"/>
      <w:proofErr w:type="gramEnd"/>
      <w:r w:rsidR="003942EF">
        <w:rPr>
          <w:rFonts w:ascii="Times New Roman" w:eastAsia="Times New Roman" w:hAnsi="Times New Roman" w:cs="Times New Roman"/>
          <w:sz w:val="24"/>
          <w:szCs w:val="24"/>
        </w:rPr>
        <w:t xml:space="preserve"> é </w:t>
      </w:r>
      <w:proofErr w:type="spellStart"/>
      <w:r w:rsidR="003942EF">
        <w:rPr>
          <w:rFonts w:ascii="Times New Roman" w:eastAsia="Times New Roman" w:hAnsi="Times New Roman" w:cs="Times New Roman"/>
          <w:sz w:val="24"/>
          <w:szCs w:val="24"/>
        </w:rPr>
        <w:t>praparoxitona</w:t>
      </w:r>
      <w:proofErr w:type="spellEnd"/>
      <w:r w:rsidR="0039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2E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="0039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2EF">
        <w:rPr>
          <w:rFonts w:ascii="Times New Roman" w:eastAsia="Times New Roman" w:hAnsi="Times New Roman" w:cs="Times New Roman"/>
          <w:sz w:val="24"/>
          <w:szCs w:val="24"/>
        </w:rPr>
        <w:t>seja</w:t>
      </w:r>
      <w:proofErr w:type="spellEnd"/>
      <w:r w:rsidR="003942EF">
        <w:rPr>
          <w:rFonts w:ascii="Times New Roman" w:eastAsia="Times New Roman" w:hAnsi="Times New Roman" w:cs="Times New Roman"/>
          <w:sz w:val="24"/>
          <w:szCs w:val="24"/>
        </w:rPr>
        <w:t xml:space="preserve"> a silaba </w:t>
      </w:r>
      <w:proofErr w:type="spellStart"/>
      <w:r w:rsidR="003942EF">
        <w:rPr>
          <w:rFonts w:ascii="Times New Roman" w:eastAsia="Times New Roman" w:hAnsi="Times New Roman" w:cs="Times New Roman"/>
          <w:sz w:val="24"/>
          <w:szCs w:val="24"/>
        </w:rPr>
        <w:t>forte</w:t>
      </w:r>
      <w:proofErr w:type="spellEnd"/>
      <w:r w:rsidR="003942EF">
        <w:rPr>
          <w:rFonts w:ascii="Times New Roman" w:eastAsia="Times New Roman" w:hAnsi="Times New Roman" w:cs="Times New Roman"/>
          <w:sz w:val="24"/>
          <w:szCs w:val="24"/>
        </w:rPr>
        <w:t xml:space="preserve"> 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antepenúltima, e a segunda é paroxítona a penúltima silaba é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forte</w:t>
      </w:r>
      <w:proofErr w:type="spellEnd"/>
    </w:p>
    <w:sectPr w:rsidR="004F03A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AF"/>
    <w:rsid w:val="00065CC2"/>
    <w:rsid w:val="000E6C4A"/>
    <w:rsid w:val="003942EF"/>
    <w:rsid w:val="004F03AF"/>
    <w:rsid w:val="005250F6"/>
    <w:rsid w:val="00816C52"/>
    <w:rsid w:val="009A1E71"/>
    <w:rsid w:val="00B90EB5"/>
    <w:rsid w:val="00C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C1EDA-016A-4931-B098-9AD4E06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2021-03-27T13:02:00Z</dcterms:created>
  <dcterms:modified xsi:type="dcterms:W3CDTF">2021-03-27T13:02:00Z</dcterms:modified>
</cp:coreProperties>
</file>